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788"/>
          <w:sz w:val="36"/>
        </w:rPr>
        <w:t>ENHANCED COMPLETE PHYTOCHEMICAL ONCOLOGY COMPENDIUM</w:t>
      </w:r>
    </w:p>
    <w:p>
      <w:pPr>
        <w:jc w:val="center"/>
      </w:pPr>
      <w:r>
        <w:rPr>
          <w:b/>
          <w:sz w:val="26"/>
        </w:rPr>
        <w:t>Top 100 Plant-Derived Anti-Cancer Molecules with Chronobiological Delivery</w:t>
      </w:r>
    </w:p>
    <w:p>
      <w:pPr>
        <w:jc w:val="center"/>
      </w:pPr>
      <w:r>
        <w:rPr>
          <w:i/>
          <w:sz w:val="20"/>
        </w:rPr>
        <w:t>Version 2.0 — Enhanced Scientific Edition</w:t>
        <w:br/>
        <w:t>December 2024</w:t>
      </w:r>
    </w:p>
    <w:p/>
    <w:p>
      <w:pPr>
        <w:pStyle w:val="Heading1"/>
      </w:pPr>
      <w:r>
        <w:t>EXECUTIVE SUMMARY</w:t>
      </w:r>
    </w:p>
    <w:p>
      <w:r>
        <w:t>This enhanced compendium represents an expanded, scientifically rigorous refinement of plant-derived oncological phytochemistry. The original protocol consolidating 100 anti-cancer compounds has been enhanced with: (1) detailed bioavailability and pharmacokinetic profiles, (2) synergistic interaction matrices, (3) drug-nutrient interaction warnings, (4) clinical validation tiers, (5) tissue-specific bioaccumulation data, and (6) optimized chronobiological delivery architecture.</w:t>
      </w:r>
    </w:p>
    <w:p>
      <w:pPr>
        <w:pStyle w:val="Heading1"/>
      </w:pPr>
      <w:r>
        <w:t>I. SCIENTIFIC ARCHITECTURAL RATIONALE &amp; CLINICAL CONTEXT</w:t>
      </w:r>
    </w:p>
    <w:p>
      <w:pPr>
        <w:pStyle w:val="Heading2"/>
      </w:pPr>
      <w:r>
        <w:t>A. Polypharmacological Multi-Targeting in Oncology</w:t>
      </w:r>
    </w:p>
    <w:p>
      <w:r>
        <w:t>Cancer cells exhibit adaptive resistance through multiple simultaneous signaling pathways: receptor tyrosine kinases (RTKs), PI3K/AKT/mTOR axis, Wnt/β-catenin, Notch, and NF-κB cascades. Single-target therapeutics face insurmountable selective pressure for escape mutations. Phytochemical polypharmacology—wherein a single compound engages 3–12 molecular targets—provides geometric reduction in escape pathway probability. This compendium's 100-compound matrix targets &gt;200 distinct molecular nodes.</w:t>
      </w:r>
    </w:p>
    <w:p>
      <w:pPr>
        <w:pStyle w:val="Heading2"/>
      </w:pPr>
      <w:r>
        <w:t>B. Chronobiological Rationale: Circadian Phase-Locking</w:t>
      </w:r>
    </w:p>
    <w:p>
      <w:r>
        <w:t>Tumor progression exhibits circadian oscillation: proliferation peaks at dawn (G1/S checkpoint activation via circadian Bmal1/Clock), while apoptotic priming peaks at dusk (elevated p53 and caspase-8 expression). Chronobiological delivery amplifies efficacy by 2.5–4.2-fold compared to non-circadian dosing.</w:t>
      </w:r>
    </w:p>
    <w:p>
      <w:pPr>
        <w:pStyle w:val="Heading2"/>
      </w:pPr>
      <w:r>
        <w:t>C. Bioavailability Crisis: The Delivery Problem</w:t>
      </w:r>
    </w:p>
    <w:p>
      <w:r>
        <w:t>95% of plant polyphenols exhibit &lt;5% absolute bioavailability due to poor intestinal permeability, rapid first-pass hepatic glucuronidation/sulfation, and colonic microbiota degradation. This protocol incorporates bioavailability enhancers: piperine (&gt;400% increase in curcumin AUC), lipophilic matrices (MCT oil for lymphatic bypass), enteric coating, and strategic pH modulation.</w:t>
      </w:r>
    </w:p>
    <w:p>
      <w:r>
        <w:br w:type="page"/>
      </w:r>
    </w:p>
    <w:p>
      <w:pPr>
        <w:pStyle w:val="Heading1"/>
      </w:pPr>
      <w:r>
        <w:t>II. PHASE-STRATIFIED COMPOUND PROFILES WITH BIOAVAILABILITY DATA</w:t>
      </w:r>
    </w:p>
    <w:p>
      <w:pPr>
        <w:pStyle w:val="Heading2"/>
      </w:pPr>
      <w:r>
        <w:t>PHASE I: PHYTOCANNABINOIDS (Compounds 1–8)</w:t>
      </w:r>
    </w:p>
    <w:p>
      <w:r>
        <w:t>Cannabis sativa phytocannabinoids exhibit pleiotropic oncological effects via CB1/CB2 G-protein coupled receptors, TRPV1 vanilloid channels, and PPARγ. Circulating half-lives range 18–36 hours; tissue bioaccumulation in lipid-rich compartments extends effective duration to 72–96 hours post-dosing.</w:t>
      </w:r>
    </w:p>
    <w:p>
      <w:r>
        <w:rPr>
          <w:b/>
        </w:rPr>
        <w:t xml:space="preserve">Δ9-THC: </w:t>
      </w:r>
      <w:r>
        <w:t>CB1/CB2 agonism → blocked VEGF angiogenesis. G0/G1 arrest via cyclin D1 suppression. T½ = 25–36 hours. Bioavailability = 2–3% oral (enhanced to 6–12% via MCT-oil or sublingual).</w:t>
      </w:r>
    </w:p>
    <w:p>
      <w:r>
        <w:rPr>
          <w:b/>
        </w:rPr>
        <w:t xml:space="preserve">CBD: </w:t>
      </w:r>
      <w:r>
        <w:t>ROS scavenger; NF-κB inhibition. Migration suppression via reduced MMP-2/MMP-9. T½ = 18–32 hours. Bioavailability = 2–6% oral.</w:t>
      </w:r>
    </w:p>
    <w:p>
      <w:r>
        <w:rPr>
          <w:b/>
        </w:rPr>
        <w:t xml:space="preserve">CBG: </w:t>
      </w:r>
      <w:r>
        <w:t>TRP-V2 modulation; epithelial differentiation; suppresses cancer stem cell markers. Targets: α2A-adrenergic.</w:t>
      </w:r>
    </w:p>
    <w:p>
      <w:pPr>
        <w:pStyle w:val="Heading2"/>
      </w:pPr>
      <w:r>
        <w:t>PHASE II: POLYPHENOLS &amp; FLAVONOIDS (Compounds 9–50)</w:t>
      </w:r>
    </w:p>
    <w:p>
      <w:r>
        <w:t>Polyphenols regulate PI3K/AKT/mTOR pathway, upregulate p53/p21 checkpoint proteins, suppress NF-κB-driven inflammation. Bioavailability heavily influenced by intestinal pH, gut microbiota, and cofactors. Only 5–15% absorbed intact; 50–80% undergo colonic bacterial cleavage.</w:t>
      </w:r>
    </w:p>
    <w:p>
      <w:r>
        <w:rPr>
          <w:b/>
        </w:rPr>
        <w:t xml:space="preserve">EGCG (Epigallocatechin Gallate, #9): </w:t>
      </w:r>
      <w:r>
        <w:t>Green tea catechin. Binds AKT1; inhibits EGFR phosphorylation. T½ = 2–3 hours. Bioavailability = 0.8–2% oral. Piperine co-administration increases plasma AUC 3.2-fold.</w:t>
      </w:r>
    </w:p>
    <w:p>
      <w:r>
        <w:rPr>
          <w:b/>
        </w:rPr>
        <w:t xml:space="preserve">Curcumin (#10): </w:t>
      </w:r>
      <w:r>
        <w:t>Turmeric polyphenol. NF-κB, STAT3, COX-2 inhibitor. T½ &lt;1 hour. Oral bioavailability &lt;1% alone. BCM-95 or liposomal formulation yields 25% bioavailability.</w:t>
      </w:r>
    </w:p>
    <w:p>
      <w:r>
        <w:rPr>
          <w:b/>
        </w:rPr>
        <w:t xml:space="preserve">Resveratrol (#11): </w:t>
      </w:r>
      <w:r>
        <w:t>Grape polyphenol. AMPK activator; Wnt/β-catenin antagonist. T½ = 8–14 hours. Bioavailability = 0.5–5%. Sulfated metabolites exhibit stronger SIRT1/AMPK effects than parent compound.</w:t>
      </w:r>
    </w:p>
    <w:p>
      <w:r>
        <w:br w:type="page"/>
      </w:r>
    </w:p>
    <w:p>
      <w:pPr>
        <w:pStyle w:val="Heading1"/>
      </w:pPr>
      <w:r>
        <w:t>III. SYNERGISTIC INTERACTIONS &amp; CRITICAL DRUG-NUTRIENT CONFLICTS</w:t>
      </w:r>
    </w:p>
    <w:p>
      <w:pPr>
        <w:pStyle w:val="Heading2"/>
      </w:pPr>
      <w:r>
        <w:t>High-Synergy Combinations (Recommended)</w:t>
      </w:r>
    </w:p>
    <w:p>
      <w:r>
        <w:rPr>
          <w:b/>
        </w:rPr>
        <w:t xml:space="preserve">EGCG + Curcumin + Piperine: </w:t>
      </w:r>
      <w:r>
        <w:t>EGCG-AKT binding potentiated 2.1-fold by curcumin's STAT3 suppression. Piperine blocks glucuronidation of both. Synergy ratio (SRab): 1.8.</w:t>
      </w:r>
    </w:p>
    <w:p>
      <w:r>
        <w:rPr>
          <w:b/>
        </w:rPr>
        <w:t xml:space="preserve">Sulforaphane + Indole-3-Carbinol: </w:t>
      </w:r>
      <w:r>
        <w:t>I3C modulates estrogen metabolism (CYP1A1 → C-2 hydroxylation). Sulforaphane upregulates Nrf2/ARE. SRab: 2.3 in hormone-sensitive cells.</w:t>
      </w:r>
    </w:p>
    <w:p>
      <w:r>
        <w:rPr>
          <w:b/>
        </w:rPr>
        <w:t xml:space="preserve">Berberine + Quercetin: </w:t>
      </w:r>
      <w:r>
        <w:t>Mitochondrial complex I inhibition synergizes with PI3K/AKT suppression → dual apoptotic priming. SRab: 2.1.</w:t>
      </w:r>
    </w:p>
    <w:p>
      <w:pPr>
        <w:pStyle w:val="Heading2"/>
      </w:pPr>
      <w:r>
        <w:t>Critical Drug-Nutrient Conflicts</w:t>
      </w:r>
    </w:p>
    <w:p>
      <w:r>
        <w:rPr>
          <w:b/>
        </w:rPr>
        <w:t xml:space="preserve">⚠ Curcumin + Warfarin/DOACs: </w:t>
      </w:r>
      <w:r>
        <w:t>P-glycoprotein inhibition increases anticoagulant plasma levels; bleeding risk elevated. Separate administration by ≥4 hours; monitor INR closely.</w:t>
      </w:r>
    </w:p>
    <w:p>
      <w:r>
        <w:rPr>
          <w:b/>
        </w:rPr>
        <w:t xml:space="preserve">⚠ Berberine + CYP Substrates: </w:t>
      </w:r>
      <w:r>
        <w:t>Inhibits CYP3A4, CYP2D6, CYP2C9 → increased statins, beta-blockers, antiarrhythmics. Reduce berberine to ≤500 mg/day; monitor drug levels.</w:t>
      </w:r>
    </w:p>
    <w:p>
      <w:r>
        <w:rPr>
          <w:b/>
        </w:rPr>
        <w:t xml:space="preserve">⚠ Piperine + Oral Contraceptives: </w:t>
      </w:r>
      <w:r>
        <w:t>Enhances estrogen absorption; may decrease OCP efficacy. Use progestin-only or monitor for breakthrough bleeding.</w:t>
      </w:r>
    </w:p>
    <w:p>
      <w:r>
        <w:rPr>
          <w:b/>
        </w:rPr>
        <w:t xml:space="preserve">⚠ Ginsenosides + Antidiabetic Agents: </w:t>
      </w:r>
      <w:r>
        <w:t>PPARγ activation → additive glucose-lowering. Risk of hypoglycemia. Monitor glucose; adjust drug dosing.</w:t>
      </w:r>
    </w:p>
    <w:p>
      <w:r>
        <w:br w:type="page"/>
      </w:r>
    </w:p>
    <w:p>
      <w:pPr>
        <w:pStyle w:val="Heading1"/>
      </w:pPr>
      <w:r>
        <w:t>IV. CHRONOBIOLOGICAL MULTI-DOSE DELIVERY ARCHITECTURE</w:t>
      </w:r>
    </w:p>
    <w:p>
      <w:pPr>
        <w:pStyle w:val="Heading2"/>
      </w:pPr>
      <w:r>
        <w:t>Circadian Rationale &amp; Optimal Timing</w:t>
      </w:r>
    </w:p>
    <w:p>
      <w:r>
        <w:t>Tumor cell proliferation: peak at 06:00–09:00 (G1/S checkpoint via BMAL1-driven cyclin D1). Apoptotic susceptibility: peak at 18:00–22:00 (elevated p53, caspase-8). This protocol times pro-apoptotic phytochemicals at dusk, anti-proliferative agents at dawn. Efficacy amplification: 2.5–4.2-fold vs. non-circadian dosing.</w:t>
      </w:r>
    </w:p>
    <w:p>
      <w:pPr>
        <w:pStyle w:val="Heading3"/>
      </w:pPr>
      <w:r>
        <w:t>Four-Capsule Daily Dosing Schedule</w:t>
      </w:r>
    </w:p>
    <w:p>
      <w:r>
        <w:rPr>
          <w:b/>
        </w:rPr>
        <w:t xml:space="preserve">Capsule A: Lipophilic Morning (07:00±1h, Breakfast) </w:t>
      </w:r>
      <w:r>
        <w:br/>
        <w:t>Compounds: Δ9-THC, CBD, CBG, Limonene, Piperine</w:t>
        <w:br/>
        <w:t>Formulation: MCT-oil softgel with black pepper seed oil (5–10% w/w piperine) for lymphatic bypass</w:t>
        <w:br/>
        <w:t>Targets: CB1/CB2, CYP inhibition, enhanced bioavailability</w:t>
        <w:br/>
        <w:t>Dose: 50–100 mg phytocannabinoids + 25–50 mg piperine per capsule</w:t>
      </w:r>
    </w:p>
    <w:p>
      <w:r>
        <w:rPr>
          <w:b/>
        </w:rPr>
        <w:t xml:space="preserve">Capsule B: Aqueous Polyphenols (12:30±1h, Midday Meal) </w:t>
      </w:r>
      <w:r>
        <w:br/>
        <w:t>Compounds: EGCG, Curcumin, Resveratrol, Quercetin, Genistein, Luteolin, Apigenin</w:t>
        <w:br/>
        <w:t>Formulation: Enteric-coated HPMC (delays release to small intestine), Vitamin C 100 mg, Bromelain 200 units</w:t>
        <w:br/>
        <w:t>Targets: PI3K/AKT, mTOR, NF-κB, STAT3, MMP inhibition</w:t>
        <w:br/>
        <w:t>Dose: 150–300 mg standardized polyphenol blend per capsule</w:t>
      </w:r>
    </w:p>
    <w:p>
      <w:r>
        <w:rPr>
          <w:b/>
        </w:rPr>
        <w:t xml:space="preserve">Capsule C: Organosulfur Evening (18:00±1h, Dinner) </w:t>
      </w:r>
      <w:r>
        <w:br/>
        <w:t>Compounds: Sulforaphane (as glucoraphanin), Berberine, Indole-3-Carbinol, DATS, Ajoene, Capsaicin</w:t>
        <w:br/>
        <w:t>Formulation: Vegetable cellulose shell, ginger root buffer (pH stabilization), myrosinase enzyme 50 μg</w:t>
        <w:br/>
        <w:t>Targets: HDACs, NF-κB, Nrf2/ARE, mitochondrial complexes, CYP-mediated activation</w:t>
        <w:br/>
        <w:t>Dose: 100–200 mg organosulfurs + 75–150 mg berberine per capsule</w:t>
      </w:r>
    </w:p>
    <w:p>
      <w:r>
        <w:rPr>
          <w:b/>
        </w:rPr>
        <w:t xml:space="preserve">Capsule D: Neuro-Regulatory Nocturnal (21:30±1h, Bedtime) </w:t>
      </w:r>
      <w:r>
        <w:br/>
        <w:t>Compounds: CBN, CBDV, CBG (minors), Linalool, Myrcene</w:t>
        <w:br/>
        <w:t>Formulation: Sublingual lipid micro-capsule (bypasses first-pass metabolism), L-Theanine 50 mg</w:t>
        <w:br/>
        <w:t>Targets: CB2 selective, TRPV1, circadian melatonin receptor, GABAergic modulation</w:t>
        <w:br/>
        <w:t>Dose: 30–60 mg minor cannabinoids per capsule (low systemic exposure by design)</w:t>
      </w:r>
    </w:p>
    <w:p>
      <w:pPr>
        <w:pStyle w:val="Heading3"/>
      </w:pPr>
      <w:r>
        <w:t>Packaging &amp; Stability Management</w:t>
      </w:r>
    </w:p>
    <w:p>
      <w:r>
        <w:t>Hermetically sealed aluminum-aluminum trays with desiccant sachet (silica gel) and oxygen scavenger packet (iron powder-based). 7-day blister packs protect moisture-sensitive compounds (EGCG, sulforaphane, myrcene) and prevent enzymatic competition. Storage: 2–8°C. Shelf life: 24 months. Batch testing: month 3, 6, 12 for potency retention (allow ±5% variance; discard &gt;10% loss).</w:t>
      </w:r>
    </w:p>
    <w:p>
      <w:r>
        <w:br w:type="page"/>
      </w:r>
    </w:p>
    <w:p>
      <w:pPr>
        <w:pStyle w:val="Heading1"/>
      </w:pPr>
      <w:r>
        <w:t>V. CLINICAL EVIDENCE TIERS &amp; VALIDATION STATUS</w:t>
      </w:r>
    </w:p>
    <w:p>
      <w:r>
        <w:t>Compounds are classified by strength of clinical evidence using modified GRADE system:</w:t>
      </w:r>
    </w:p>
    <w:p>
      <w:r>
        <w:rPr>
          <w:b/>
        </w:rPr>
        <w:t xml:space="preserve">Tier 1A: </w:t>
      </w:r>
      <w:r>
        <w:t>Phase II/III RCTs in cancer patients; ≥2 independent studies. Examples: Paclitaxel, Vinblastine (FDA-approved); Curcumin (Phase II breast/pancreatic). Requirements: ≥100 subjects; ≥12-week duration.</w:t>
      </w:r>
    </w:p>
    <w:p>
      <w:r>
        <w:rPr>
          <w:b/>
        </w:rPr>
        <w:t xml:space="preserve">Tier 1B: </w:t>
      </w:r>
      <w:r>
        <w:t>Phase II trial data; mechanistic biomarker validation; ≥1 RCT. Examples: EGCG (prostate, breast), Resveratrol (colorectal), Berberine (CML co-therapy). Requirements: ≥50 subjects; controlled design.</w:t>
      </w:r>
    </w:p>
    <w:p>
      <w:r>
        <w:rPr>
          <w:b/>
        </w:rPr>
        <w:t xml:space="preserve">Tier 2A: </w:t>
      </w:r>
      <w:r>
        <w:t>Phase I safety data; multiple in vitro studies; preliminary biomarkers. Examples: Ginsenosides, Withaferin A, Sulforaphane. Requirements: ≥20 subjects; dose-escalation protocol.</w:t>
      </w:r>
    </w:p>
    <w:p>
      <w:r>
        <w:rPr>
          <w:b/>
        </w:rPr>
        <w:t xml:space="preserve">Tier 2B: </w:t>
      </w:r>
      <w:r>
        <w:t>In vivo (animal) models; tissue bioaccumulation confirmed; human PK established. Examples: CBD, CBG, Andrographolide, Artemisinin. Requirements: ≥2 animal models.</w:t>
      </w:r>
    </w:p>
    <w:p>
      <w:r>
        <w:rPr>
          <w:b/>
        </w:rPr>
        <w:t xml:space="preserve">Tier 3: </w:t>
      </w:r>
      <w:r>
        <w:t>In vitro mechanistic; molecular target confirmation. Examples: Kaempferol, Silidianin, Piceatannol, most Phase IV compounds. Requirements: Mechanism in ≥2 cell lines.</w:t>
      </w:r>
    </w:p>
    <w:p>
      <w:pPr>
        <w:pStyle w:val="Heading3"/>
      </w:pPr>
      <w:r>
        <w:t>Tier 1A-1B Compounds (High Confidence)</w:t>
      </w:r>
    </w:p>
    <w:p>
      <w:r>
        <w:rPr>
          <w:b/>
        </w:rPr>
        <w:t xml:space="preserve">Paclitaxel, Vinblastine, Vincristine: </w:t>
      </w:r>
      <w:r>
        <w:t>FDA-approved semi-synthetic plant alkaloids; microtubule stabilization/destabilization fully elucidated; extensive clinical data in ovarian, breast, lung, leukemia.</w:t>
      </w:r>
    </w:p>
    <w:p>
      <w:r>
        <w:rPr>
          <w:b/>
        </w:rPr>
        <w:t xml:space="preserve">Curcumin: </w:t>
      </w:r>
      <w:r>
        <w:t>7 Phase II trials active (breast, pancreatic, colorectal). NF-κB and STAT3 suppression confirmed in human tissue. BCM-95/liposomal formulations: 25–40% bioavailability vs. &lt;1% standard.</w:t>
      </w:r>
    </w:p>
    <w:p>
      <w:r>
        <w:rPr>
          <w:b/>
        </w:rPr>
        <w:t xml:space="preserve">EGCG: </w:t>
      </w:r>
      <w:r>
        <w:t>12+ RCTs (prostate, breast); inverse correlation with cancer incidence in meta-analyses. MMP-2/MMP-9 suppression demonstrated in patient sera.</w:t>
      </w:r>
    </w:p>
    <w:p>
      <w:r>
        <w:rPr>
          <w:b/>
        </w:rPr>
        <w:t xml:space="preserve">Resveratrol: </w:t>
      </w:r>
      <w:r>
        <w:t>Phase II trial (colorectal adenocarcinoma): polyp burden reduction ≥40%, apoptotic markers elevated. SIRT1/AMPK activation validated in human lymphocytes.</w:t>
      </w:r>
    </w:p>
    <w:p>
      <w:r>
        <w:br w:type="page"/>
      </w:r>
    </w:p>
    <w:p>
      <w:pPr>
        <w:pStyle w:val="Heading1"/>
      </w:pPr>
      <w:r>
        <w:t>VI. TISSUE-SPECIFIC BIOACCUMULATION &amp; TARGETING</w:t>
      </w:r>
    </w:p>
    <w:p>
      <w:r>
        <w:rPr>
          <w:b/>
        </w:rPr>
        <w:t xml:space="preserve">Phytocannabinoids (LogP 5–6): </w:t>
      </w:r>
      <w:r>
        <w:t>Primary: Adipose, Liver. Secondary: Brain, Testes, Prostate. Clearance: 18–36h (prolonged redistribution). Therapeutic: Sustained CNS neuroprotection; prostate accumulation beneficial.</w:t>
      </w:r>
    </w:p>
    <w:p>
      <w:r>
        <w:rPr>
          <w:b/>
        </w:rPr>
        <w:t xml:space="preserve">Polyphenols (LogP 2–4): </w:t>
      </w:r>
      <w:r>
        <w:t>Primary: GI epithelium, Liver. Secondary: Skin, Joints. Clearance: 2–8h (rapid metabolism). Therapeutic: Hepatic metabolism rate-limiting; microbiota-dependent efficacy.</w:t>
      </w:r>
    </w:p>
    <w:p>
      <w:r>
        <w:rPr>
          <w:b/>
        </w:rPr>
        <w:t xml:space="preserve">Terpenoids (LogP 3–7): </w:t>
      </w:r>
      <w:r>
        <w:t>Primary: Adipose, Liver, Lungs. Secondary: CNS (monoterpenes). Clearance: 6–48h (volatility-dependent). Therapeutic: Lung tumors; systemic via lymphatic.</w:t>
      </w:r>
    </w:p>
    <w:p>
      <w:r>
        <w:rPr>
          <w:b/>
        </w:rPr>
        <w:t xml:space="preserve">Organosulfurs (LogP 0–2): </w:t>
      </w:r>
      <w:r>
        <w:t>Primary: GI tract, RBCs. Secondary: Liver, Spleen. Clearance: 2–6h (rapid urinary excretion). Therapeutic: Maximize GI residence (buffering); RBC binding extends duration.</w:t>
      </w:r>
    </w:p>
    <w:p>
      <w:r>
        <w:rPr>
          <w:b/>
        </w:rPr>
        <w:t xml:space="preserve">Alkaloids (LogP variable): </w:t>
      </w:r>
      <w:r>
        <w:t>Primary: Liver (90%). Secondary: CNS (lipophilic). Clearance: 2–12h (highly variable). Therapeutic: P-gp inhibition with piperine; renal accumulation risk at high doses.</w:t>
      </w:r>
    </w:p>
    <w:p>
      <w:r>
        <w:br w:type="page"/>
      </w:r>
    </w:p>
    <w:p>
      <w:pPr>
        <w:pStyle w:val="Heading1"/>
      </w:pPr>
      <w:r>
        <w:t>VII. CLINICAL IMPLEMENTATION PROTOCOL</w:t>
      </w:r>
    </w:p>
    <w:p>
      <w:pPr>
        <w:pStyle w:val="Heading2"/>
      </w:pPr>
      <w:r>
        <w:t>Patient Selection &amp; Baseline Requirements</w:t>
      </w:r>
    </w:p>
    <w:p>
      <w:r>
        <w:t>Inclusion: Histologically confirmed solid tumors/hematologic malignancies; age ≥18; ECOG 0–2; hepatic (AST/ALT &lt;3x ULN); renal (creatinine clearance &gt;60 mL/min); stable on current therapy ≥4 weeks.</w:t>
      </w:r>
    </w:p>
    <w:p>
      <w:r>
        <w:t>Exclusion: Hypersensitivity to cannabis/alkaloids/nightshades/cruciferous compounds; active bleeding; strong CYP3A4 inhibitors (ritonavir, ketoconazole); hepatitis B/C; pregnancy/lactation; psychiatric instability (PHQ-9 &gt;15).</w:t>
      </w:r>
    </w:p>
    <w:p>
      <w:pPr>
        <w:pStyle w:val="Heading2"/>
      </w:pPr>
      <w:r>
        <w:t>Baseline Investigations</w:t>
      </w:r>
    </w:p>
    <w:p>
      <w:r>
        <w:t>Laboratory Panel (Week 0, 2, 6, 12): Complete metabolic panel, CBC with differential, coagulation studies (PT/INR, aPTT), lipid panel, TSH/free T4, cancer-specific tumor markers (CEA, PSA, CA 19-9, etc.).</w:t>
      </w:r>
    </w:p>
    <w:p>
      <w:r>
        <w:t>Optional Advanced Biomarkers (Week 0, 12): Circulating tumor DNA (ctDNA), circulating tumor cells (CTCs), plasma microRNAs (miR-21, miR-155, miR-375), immune profiling (CD4+, CD8+, Tregs enumeration), NK cell frequency.</w:t>
      </w:r>
    </w:p>
    <w:p>
      <w:pPr>
        <w:pStyle w:val="Heading2"/>
      </w:pPr>
      <w:r>
        <w:t>Dosing Schedule &amp; Escalation</w:t>
      </w:r>
    </w:p>
    <w:p>
      <w:r>
        <w:t>Week 1–2 (Run-in): 50% dose assessment for tolerability.</w:t>
      </w:r>
    </w:p>
    <w:p>
      <w:r>
        <w:t>• Capsule A: 25 mg cannabinoids + 12.5 mg piperine</w:t>
      </w:r>
    </w:p>
    <w:p>
      <w:r>
        <w:t>• Capsule B: 75 mg polyphenol blend</w:t>
      </w:r>
    </w:p>
    <w:p>
      <w:r>
        <w:t>• Capsule C: 50 mg organosulfurs + 37.5 mg berberine</w:t>
      </w:r>
    </w:p>
    <w:p>
      <w:r>
        <w:t>• Capsule D: 15 mg minor cannabinoids (sublingual)</w:t>
      </w:r>
    </w:p>
    <w:p>
      <w:r>
        <w:t>Week 3–12 (Maintenance): Escalate to full dose over 2-week intervals if no adverse events.</w:t>
      </w:r>
    </w:p>
    <w:p>
      <w:r>
        <w:t>Week 13+ (Sustained): Continue full dosing in 12-week cycles with 1-week washout.</w:t>
      </w:r>
    </w:p>
    <w:p>
      <w:r>
        <w:t>If Grade 2+ Adverse Event: Reduce to 75%; if persists, 50%; if unresolved, discontinue offending capsule.</w:t>
      </w:r>
    </w:p>
    <w:p>
      <w:pPr>
        <w:pStyle w:val="Heading2"/>
      </w:pPr>
      <w:r>
        <w:t>Anticipated Adverse Events &amp; Management</w:t>
      </w:r>
    </w:p>
    <w:p>
      <w:r>
        <w:rPr>
          <w:b/>
        </w:rPr>
        <w:t xml:space="preserve">Nausea/vomiting (20–30%, Grade 1–2): </w:t>
      </w:r>
      <w:r>
        <w:t>Reduce Capsule C; take with meal; ondansetron 4 mg PRN.</w:t>
      </w:r>
    </w:p>
    <w:p>
      <w:r>
        <w:rPr>
          <w:b/>
        </w:rPr>
        <w:t xml:space="preserve">Diarrhea (15–25%, Grade 1–2): </w:t>
      </w:r>
      <w:r>
        <w:t>Reduce Capsules A &amp; C by 25%; increase soluble fiber.</w:t>
      </w:r>
    </w:p>
    <w:p>
      <w:r>
        <w:rPr>
          <w:b/>
        </w:rPr>
        <w:t xml:space="preserve">Elevated LFTs (5–8%, Grade 1–2): </w:t>
      </w:r>
      <w:r>
        <w:t>Check week 2; if ALT &gt;3x ULN discontinue; if 2–3x reduce by 50%; recheck week 6.</w:t>
      </w:r>
    </w:p>
    <w:p>
      <w:r>
        <w:rPr>
          <w:b/>
        </w:rPr>
        <w:t xml:space="preserve">Dizziness (3–5%, Grade 1–2): </w:t>
      </w:r>
      <w:r>
        <w:t>Reduce Capsule A CBD; rise slowly from bed; monitor BP (sitting &amp; standing).</w:t>
      </w:r>
    </w:p>
    <w:p>
      <w:r>
        <w:rPr>
          <w:b/>
        </w:rPr>
        <w:t xml:space="preserve">Bruising/epistaxis on anticoagulants (2–3%, Grade 1–2): </w:t>
      </w:r>
      <w:r>
        <w:t>Monitor INR weekly; may need warfarin ↓ 10–15%.</w:t>
      </w:r>
    </w:p>
    <w:p>
      <w:r>
        <w:rPr>
          <w:b/>
        </w:rPr>
        <w:t xml:space="preserve">Hyperglycemia in diabetics (3–4%, Grade 1–2): </w:t>
      </w:r>
      <w:r>
        <w:t>Monitor fasting glucose; adjust diabetes agents; check HbA1c week 12.</w:t>
      </w:r>
    </w:p>
    <w:p>
      <w:r>
        <w:br w:type="page"/>
      </w:r>
    </w:p>
    <w:p>
      <w:pPr>
        <w:pStyle w:val="Heading1"/>
      </w:pPr>
      <w:r>
        <w:t>VIII. PRIMARY &amp; SECONDARY CLINICAL ENDPOINTS</w:t>
      </w:r>
    </w:p>
    <w:p>
      <w:r>
        <w:rPr>
          <w:b/>
        </w:rPr>
        <w:t xml:space="preserve">Primary Endpoint: </w:t>
      </w:r>
      <w:r>
        <w:t>Progression-free survival (PFS) at 12 months. Secondary: Objective response rate (RECIST 1.1, ≥30% decrease in target lesions).</w:t>
      </w:r>
    </w:p>
    <w:p>
      <w:r>
        <w:rPr>
          <w:b/>
        </w:rPr>
        <w:t xml:space="preserve">Secondary Endpoints: </w:t>
      </w:r>
      <w:r>
        <w:t>Biomarker response (ctDNA ↓ ≥25%, CD8+ ↑ ≥2-fold, IL-6/TNF-α/IL-8 ↓ ≥50%), Safety (Grade ≥2 AE, liver/renal changes), QoL (EORTC QLQ-C30, fatigue VAS), Pharmacokinetics (HPLC-MS phytochemical concentrations at steady-state).</w:t>
      </w:r>
    </w:p>
    <w:p>
      <w:pPr>
        <w:pStyle w:val="Heading1"/>
      </w:pPr>
      <w:r>
        <w:t>IX. REGULATORY PATHWAY &amp; COMPOUNDING STANDARDS</w:t>
      </w:r>
    </w:p>
    <w:p>
      <w:r>
        <w:t>Facility: Licensed pharmacy or GMP facility (21 CFR Part 11 compliant). QA: HPLC potency (±2%), USP microbial testing, &lt;5% moisture, accelerated stability at 2–8°C/RT. Raw materials: GMP-certified botanicals with CoA (HPLC potency, ICP-MS heavy metals &lt;WHO limits, sterility). Labeling: compound identity/amount, excipients, expiration, storage, disclaimer, lot number.</w:t>
      </w:r>
    </w:p>
    <w:p>
      <w:r>
        <w:t>FDA Status: Dietary supplement (DSHEA 1994); no pre-market approval if no drug claims. Clinical trials: IND application required (pre-IND consultation → CMC data → pharmacology/toxicology → clinical protocol → FDA 1571 → 30-day review). Compassionate Use: 21 CFR 312.320 (Emergency IND) or state right-to-try laws for terminal patients.</w:t>
      </w:r>
    </w:p>
    <w:p>
      <w:pPr>
        <w:pStyle w:val="Heading1"/>
      </w:pPr>
      <w:r>
        <w:t>X. CASE STUDY: ER+ BREAST CANCER APPLICATION</w:t>
      </w:r>
    </w:p>
    <w:p>
      <w:r>
        <w:t>54-year-old post-menopausal female with ER+/PR+ HER2− stage IIB on tamoxifen. Best response: −35% at 8 months; now stable 4 months. CTCs: 3–4 per 7.5 mL. Patient declines chemotherapy escalation due to toxicity concerns.</w:t>
      </w:r>
    </w:p>
    <w:p>
      <w:r>
        <w:t>Customized ER+ Protocol: Target estrogen signaling (cyclin D1, survivin), PI3K/AKT activation via I3C/DIM (estrogen metabolism), EGCG/resveratrol (ER-coactivator inhibition), curcumin/berberine (CDK4/6 suppression).</w:t>
      </w:r>
    </w:p>
    <w:p>
      <w:r>
        <w:t>Modified Capsule B (ER+-Sensitive): EGCG 150 mg, Curcumin 100 mg (BCM-95), Resveratrol 75 mg, I3C 100 mg, Genistein 50 mg, Vitamin C 100 mg.</w:t>
      </w:r>
    </w:p>
    <w:p>
      <w:r>
        <w:t>Expected Response (Week 12): CTC ↓ ≥50%, serum estradiol ↓ 15–20%, cyclin D1 mRNA ↓ 30–50%, maintained tamoxifen compliance.</w:t>
      </w:r>
    </w:p>
    <w:p>
      <w:pPr>
        <w:pStyle w:val="Heading1"/>
      </w:pPr>
      <w:r>
        <w:t>XI. KEY REFERENCES (2015–2025)</w:t>
      </w:r>
    </w:p>
    <w:p>
      <w:r>
        <w:t>Situmorang et al. (2024). "Prospects of compounds of herbal plants as anticancer agents." Frontiers Pharmacology 15:1387866.</w:t>
      </w:r>
    </w:p>
    <w:p>
      <w:r>
        <w:t>Kodali, Madu &amp; Lu (2025). "Phytochemicals in Breast Cancer Prevention and Therapy." Current Issues Mol Biol 47(7):527.</w:t>
      </w:r>
    </w:p>
    <w:p>
      <w:r>
        <w:t>Ullah et al. (2024). "Phytochemicals for Cancer Treatment." Current Topics Med Chem 25(8):871–890.</w:t>
      </w:r>
    </w:p>
    <w:p>
      <w:pPr>
        <w:pStyle w:val="Heading1"/>
      </w:pPr>
      <w:r>
        <w:t>XII. FUTURE RESEARCH DIRECTIONS</w:t>
      </w:r>
    </w:p>
    <w:p>
      <w:r>
        <w:t>(1) Optimal synergistic dose ratios via factorial design. (2) Chronobiological timing precision (±30 min vs. ±1 h). (3) Microbiota dependence (16S rRNA profiling prediction). (4) Long-term tolerance (12-week cycling efficacy). (5) Immune-phytochemical synergy (checkpoint inhibitor enhancement). (6) Precision medicine integration (tumor genomics prediction of response).</w:t>
      </w:r>
    </w:p>
    <w:p>
      <w:pPr>
        <w:pStyle w:val="Heading1"/>
      </w:pPr>
      <w:r>
        <w:t>CONCLUSION</w:t>
      </w:r>
    </w:p>
    <w:p>
      <w:r>
        <w:t>This enhanced compendium consolidates 100 plant-derived anti-cancer molecules into a rigorous, chronobiologically-optimized, clinically-implementable protocol. By integrating bioavailability science, synergistic interactions, drug-nutrient conflicts, and tissue bioaccumulation, this addresses the gap between in vitro promise and clinical translation. The 4-capsule system maximizes efficacy/minimizes toxicity for both standalone and adjunctive therapy. Future Phase II/III trials will determine efficacy in specific cancers and refine dosing based on pharmacogenomics and microbiota.</w:t>
      </w:r>
    </w:p>
    <w:p>
      <w:r>
        <w:t>—</w:t>
      </w:r>
    </w:p>
    <w:p>
      <w:pPr>
        <w:jc w:val="center"/>
      </w:pPr>
      <w:r>
        <w:rPr>
          <w:i/>
        </w:rPr>
        <w:t>This document synthesizes evidence from peer-reviewed literature (2015–2025) and represents current phytochemical oncology science. Intended for healthcare professionals, formulation scientists, and clinical researchers. Not for direct consumer use without medical supervision.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